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9470">
      <w:pPr>
        <w:pStyle w:val="2"/>
        <w:topLinePunct/>
        <w:spacing w:line="560" w:lineRule="exact"/>
        <w:jc w:val="center"/>
        <w:rPr>
          <w:rFonts w:ascii="方正小标宋简体" w:hAnsi="华文中宋" w:eastAsia="方正小标宋简体" w:cs="宋体"/>
          <w:spacing w:val="6"/>
          <w:sz w:val="44"/>
          <w:szCs w:val="44"/>
        </w:rPr>
      </w:pPr>
      <w:bookmarkStart w:id="1" w:name="_GoBack"/>
      <w:r>
        <w:rPr>
          <w:rFonts w:hint="eastAsia" w:ascii="方正小标宋简体" w:hAnsi="华文中宋" w:eastAsia="方正小标宋简体"/>
          <w:sz w:val="44"/>
          <w:szCs w:val="44"/>
        </w:rPr>
        <w:t>第六届茅盾新人</w:t>
      </w:r>
      <w:r>
        <w:rPr>
          <w:rFonts w:hint="eastAsia" w:ascii="方正小标宋简体" w:hAnsi="华文中宋" w:eastAsia="方正小标宋简体" w:cs="宋体"/>
          <w:spacing w:val="6"/>
          <w:sz w:val="44"/>
          <w:szCs w:val="44"/>
        </w:rPr>
        <w:t>奖评奖章程</w:t>
      </w:r>
    </w:p>
    <w:bookmarkEnd w:id="1"/>
    <w:p w14:paraId="3F71C3A4">
      <w:pPr>
        <w:topLinePunct/>
        <w:spacing w:line="560" w:lineRule="exact"/>
        <w:rPr>
          <w:sz w:val="32"/>
          <w:szCs w:val="32"/>
        </w:rPr>
      </w:pPr>
    </w:p>
    <w:p w14:paraId="1CFE8012">
      <w:pPr>
        <w:topLinePunct/>
        <w:spacing w:line="560" w:lineRule="exact"/>
        <w:jc w:val="center"/>
        <w:rPr>
          <w:rFonts w:ascii="黑体" w:eastAsia="黑体"/>
          <w:sz w:val="32"/>
          <w:szCs w:val="32"/>
        </w:rPr>
      </w:pPr>
      <w:r>
        <w:rPr>
          <w:rFonts w:hint="eastAsia" w:ascii="黑体" w:eastAsia="黑体"/>
          <w:sz w:val="32"/>
          <w:szCs w:val="32"/>
        </w:rPr>
        <w:t>第一章  总  则</w:t>
      </w:r>
    </w:p>
    <w:p w14:paraId="5A15AD8F">
      <w:pPr>
        <w:pStyle w:val="2"/>
        <w:topLinePunct/>
        <w:spacing w:line="560" w:lineRule="exact"/>
        <w:ind w:firstLine="640" w:firstLineChars="200"/>
        <w:rPr>
          <w:rFonts w:hAnsi="宋体" w:cs="宋体"/>
          <w:sz w:val="32"/>
          <w:szCs w:val="32"/>
        </w:rPr>
      </w:pPr>
      <w:r>
        <w:rPr>
          <w:rFonts w:hint="eastAsia" w:hAnsi="宋体" w:cs="宋体"/>
          <w:sz w:val="32"/>
          <w:szCs w:val="32"/>
        </w:rPr>
        <w:t xml:space="preserve">     </w:t>
      </w:r>
    </w:p>
    <w:p w14:paraId="4D4E3BF6">
      <w:pPr>
        <w:pStyle w:val="2"/>
        <w:topLinePunct/>
        <w:spacing w:line="560" w:lineRule="exact"/>
        <w:ind w:firstLine="640" w:firstLineChars="200"/>
        <w:rPr>
          <w:rFonts w:ascii="仿宋_GB2312" w:hAnsi="仿宋" w:eastAsia="仿宋_GB2312" w:cs="宋体"/>
          <w:sz w:val="32"/>
          <w:szCs w:val="32"/>
        </w:rPr>
      </w:pPr>
      <w:r>
        <w:rPr>
          <w:rFonts w:hint="eastAsia" w:ascii="黑体" w:eastAsia="黑体"/>
          <w:sz w:val="32"/>
          <w:szCs w:val="32"/>
        </w:rPr>
        <w:t xml:space="preserve">第一条 </w:t>
      </w:r>
      <w:r>
        <w:rPr>
          <w:rFonts w:hint="eastAsia" w:ascii="仿宋" w:hAnsi="仿宋" w:eastAsia="仿宋"/>
          <w:sz w:val="32"/>
          <w:szCs w:val="32"/>
        </w:rPr>
        <w:t xml:space="preserve"> </w:t>
      </w:r>
      <w:r>
        <w:rPr>
          <w:rFonts w:hint="eastAsia" w:ascii="仿宋_GB2312" w:hAnsi="仿宋" w:eastAsia="仿宋_GB2312"/>
          <w:sz w:val="32"/>
          <w:szCs w:val="32"/>
        </w:rPr>
        <w:t>中华文学基金会茅盾新人</w:t>
      </w:r>
      <w:r>
        <w:rPr>
          <w:rFonts w:hint="eastAsia" w:ascii="仿宋_GB2312" w:hAnsi="仿宋" w:eastAsia="仿宋_GB2312" w:cs="宋体"/>
          <w:sz w:val="32"/>
          <w:szCs w:val="32"/>
        </w:rPr>
        <w:t>奖（以下简称茅盾新人奖）</w:t>
      </w:r>
      <w:r>
        <w:rPr>
          <w:rFonts w:hint="eastAsia" w:ascii="仿宋_GB2312" w:hAnsi="仿宋" w:eastAsia="仿宋_GB2312"/>
          <w:sz w:val="32"/>
          <w:szCs w:val="32"/>
        </w:rPr>
        <w:t>是以取得较高成就的青年作家、评论家为奖掖对象的文学奖项，旨在鼓励年轻一代</w:t>
      </w:r>
      <w:r>
        <w:rPr>
          <w:rFonts w:hint="eastAsia" w:ascii="仿宋_GB2312" w:hAnsi="仿宋" w:eastAsia="仿宋_GB2312" w:cs="宋体"/>
          <w:sz w:val="32"/>
          <w:szCs w:val="32"/>
        </w:rPr>
        <w:t>弘扬中华民族优秀文化，勇攀文学高峰，从而促进中国文学事业的繁荣发展。</w:t>
      </w:r>
    </w:p>
    <w:p w14:paraId="024B38BD">
      <w:pPr>
        <w:topLinePunct/>
        <w:spacing w:line="560" w:lineRule="exact"/>
        <w:ind w:firstLine="640" w:firstLineChars="200"/>
        <w:rPr>
          <w:rFonts w:ascii="仿宋_GB2312" w:hAnsi="仿宋" w:eastAsia="仿宋_GB2312" w:cs="Courier New"/>
          <w:sz w:val="32"/>
          <w:szCs w:val="32"/>
        </w:rPr>
      </w:pPr>
      <w:r>
        <w:rPr>
          <w:rFonts w:hint="eastAsia" w:ascii="黑体" w:eastAsia="黑体"/>
          <w:sz w:val="32"/>
          <w:szCs w:val="32"/>
        </w:rPr>
        <w:t>第二条</w:t>
      </w:r>
      <w:r>
        <w:rPr>
          <w:rFonts w:hint="eastAsia" w:ascii="仿宋_GB2312" w:eastAsia="仿宋_GB2312"/>
          <w:sz w:val="32"/>
          <w:szCs w:val="32"/>
        </w:rPr>
        <w:t xml:space="preserve">  </w:t>
      </w:r>
      <w:r>
        <w:rPr>
          <w:rFonts w:hint="eastAsia" w:ascii="仿宋_GB2312" w:hAnsi="仿宋" w:eastAsia="仿宋_GB2312" w:cs="Courier New"/>
          <w:sz w:val="32"/>
          <w:szCs w:val="32"/>
        </w:rPr>
        <w:t>本奖由中国作家协会所属中华文学基金会、浙江省作家协会、浙江省桐乡市人民政府联合主办。</w:t>
      </w:r>
    </w:p>
    <w:p w14:paraId="3D39C298">
      <w:pPr>
        <w:topLinePunct/>
        <w:spacing w:line="560" w:lineRule="exact"/>
        <w:ind w:firstLine="640" w:firstLineChars="200"/>
        <w:rPr>
          <w:rFonts w:ascii="仿宋_GB2312" w:hAnsi="仿宋" w:eastAsia="仿宋_GB2312" w:cs="Courier New"/>
          <w:sz w:val="32"/>
          <w:szCs w:val="32"/>
        </w:rPr>
      </w:pPr>
      <w:r>
        <w:rPr>
          <w:rFonts w:hint="eastAsia" w:ascii="黑体" w:eastAsia="黑体"/>
          <w:sz w:val="32"/>
          <w:szCs w:val="32"/>
        </w:rPr>
        <w:t xml:space="preserve">第三条  </w:t>
      </w:r>
      <w:r>
        <w:rPr>
          <w:rFonts w:hint="eastAsia" w:ascii="仿宋_GB2312" w:hAnsi="仿宋" w:eastAsia="仿宋_GB2312" w:cs="Courier New"/>
          <w:sz w:val="32"/>
          <w:szCs w:val="32"/>
        </w:rPr>
        <w:t>本奖每两年颁发一次，每届奖励共20名（传统文学10名，网络文学10名）文学新人。</w:t>
      </w:r>
    </w:p>
    <w:p w14:paraId="76078039">
      <w:pPr>
        <w:topLinePunct/>
        <w:spacing w:line="560" w:lineRule="exact"/>
        <w:ind w:firstLine="640" w:firstLineChars="200"/>
        <w:rPr>
          <w:rFonts w:ascii="仿宋_GB2312" w:eastAsia="仿宋_GB2312"/>
          <w:sz w:val="32"/>
          <w:szCs w:val="32"/>
        </w:rPr>
      </w:pPr>
    </w:p>
    <w:p w14:paraId="4014B674">
      <w:pPr>
        <w:topLinePunct/>
        <w:spacing w:line="560" w:lineRule="exact"/>
        <w:jc w:val="center"/>
        <w:rPr>
          <w:rFonts w:ascii="黑体" w:hAnsi="黑体" w:eastAsia="黑体"/>
          <w:spacing w:val="6"/>
          <w:sz w:val="32"/>
          <w:szCs w:val="32"/>
        </w:rPr>
      </w:pPr>
      <w:r>
        <w:rPr>
          <w:rFonts w:hint="eastAsia" w:ascii="黑体" w:hAnsi="黑体" w:eastAsia="黑体"/>
          <w:spacing w:val="6"/>
          <w:sz w:val="32"/>
          <w:szCs w:val="32"/>
        </w:rPr>
        <w:t>第二章  指导思想</w:t>
      </w:r>
    </w:p>
    <w:p w14:paraId="5A9253AE">
      <w:pPr>
        <w:topLinePunct/>
        <w:spacing w:line="560" w:lineRule="exact"/>
        <w:jc w:val="center"/>
        <w:rPr>
          <w:rFonts w:ascii="黑体" w:hAnsi="黑体" w:eastAsia="黑体"/>
          <w:spacing w:val="6"/>
          <w:sz w:val="32"/>
          <w:szCs w:val="32"/>
        </w:rPr>
      </w:pPr>
    </w:p>
    <w:p w14:paraId="33C1E8E4">
      <w:pPr>
        <w:pStyle w:val="2"/>
        <w:topLinePunct/>
        <w:spacing w:line="560" w:lineRule="exact"/>
        <w:ind w:firstLine="664" w:firstLineChars="200"/>
        <w:rPr>
          <w:rFonts w:ascii="仿宋_GB2312" w:hAnsi="仿宋" w:eastAsia="仿宋_GB2312"/>
          <w:sz w:val="32"/>
          <w:szCs w:val="32"/>
        </w:rPr>
      </w:pPr>
      <w:r>
        <w:rPr>
          <w:rFonts w:hint="eastAsia" w:ascii="黑体" w:hAnsi="黑体" w:eastAsia="黑体"/>
          <w:spacing w:val="6"/>
          <w:sz w:val="32"/>
          <w:szCs w:val="32"/>
        </w:rPr>
        <w:t>第四条</w:t>
      </w:r>
      <w:r>
        <w:rPr>
          <w:rFonts w:hint="eastAsia" w:ascii="仿宋_GB2312" w:eastAsia="仿宋_GB2312"/>
          <w:spacing w:val="6"/>
          <w:sz w:val="32"/>
          <w:szCs w:val="32"/>
        </w:rPr>
        <w:t xml:space="preserve"> </w:t>
      </w:r>
      <w:r>
        <w:rPr>
          <w:rFonts w:hint="eastAsia" w:ascii="仿宋" w:hAnsi="仿宋" w:eastAsia="仿宋"/>
          <w:spacing w:val="6"/>
          <w:sz w:val="32"/>
          <w:szCs w:val="32"/>
        </w:rPr>
        <w:t xml:space="preserve"> </w:t>
      </w:r>
      <w:r>
        <w:rPr>
          <w:rFonts w:hint="eastAsia" w:ascii="仿宋_GB2312" w:hAnsi="仿宋" w:eastAsia="仿宋_GB2312"/>
          <w:sz w:val="32"/>
          <w:szCs w:val="32"/>
        </w:rPr>
        <w:t>茅盾新人奖以习近平新时代中国特色社会主义思想为指导，深入学习贯彻习近平文化思想，坚持社会主义核心价值观，坚持正确政治方向和以人民为中心的创作导向，坚持崇德尚艺、德艺双馨的原则，坚持人品文品统一。</w:t>
      </w:r>
    </w:p>
    <w:p w14:paraId="29507912">
      <w:pPr>
        <w:topLinePunct/>
        <w:spacing w:line="560" w:lineRule="exact"/>
        <w:jc w:val="center"/>
        <w:rPr>
          <w:rFonts w:ascii="黑体" w:hAnsi="黑体" w:eastAsia="黑体"/>
          <w:spacing w:val="6"/>
          <w:sz w:val="32"/>
          <w:szCs w:val="32"/>
        </w:rPr>
      </w:pPr>
    </w:p>
    <w:p w14:paraId="69EC8D4C">
      <w:pPr>
        <w:topLinePunct/>
        <w:spacing w:line="560" w:lineRule="exact"/>
        <w:jc w:val="center"/>
        <w:rPr>
          <w:rFonts w:ascii="黑体" w:hAnsi="黑体" w:eastAsia="黑体"/>
          <w:spacing w:val="6"/>
          <w:sz w:val="32"/>
          <w:szCs w:val="32"/>
        </w:rPr>
      </w:pPr>
      <w:r>
        <w:rPr>
          <w:rFonts w:hint="eastAsia" w:ascii="黑体" w:hAnsi="黑体" w:eastAsia="黑体"/>
          <w:spacing w:val="6"/>
          <w:sz w:val="32"/>
          <w:szCs w:val="32"/>
        </w:rPr>
        <w:t>第三章  奖项设置及奖励对象</w:t>
      </w:r>
    </w:p>
    <w:p w14:paraId="763D4E1F">
      <w:pPr>
        <w:topLinePunct/>
        <w:spacing w:line="560" w:lineRule="exact"/>
        <w:ind w:firstLine="664" w:firstLineChars="200"/>
        <w:rPr>
          <w:rFonts w:ascii="仿宋_GB2312" w:eastAsia="仿宋_GB2312"/>
          <w:spacing w:val="6"/>
          <w:sz w:val="32"/>
          <w:szCs w:val="32"/>
        </w:rPr>
      </w:pPr>
    </w:p>
    <w:p w14:paraId="176CD682">
      <w:pPr>
        <w:pStyle w:val="2"/>
        <w:topLinePunct/>
        <w:spacing w:line="560" w:lineRule="exact"/>
        <w:ind w:firstLine="664" w:firstLineChars="200"/>
        <w:rPr>
          <w:rFonts w:ascii="仿宋_GB2312" w:hAnsi="仿宋" w:eastAsia="仿宋_GB2312"/>
          <w:sz w:val="32"/>
          <w:szCs w:val="32"/>
        </w:rPr>
      </w:pPr>
      <w:r>
        <w:rPr>
          <w:rFonts w:hint="eastAsia" w:ascii="黑体" w:hAnsi="黑体" w:eastAsia="黑体"/>
          <w:spacing w:val="6"/>
          <w:sz w:val="32"/>
          <w:szCs w:val="32"/>
        </w:rPr>
        <w:t>第五条</w:t>
      </w:r>
      <w:r>
        <w:rPr>
          <w:rFonts w:hint="eastAsia" w:ascii="仿宋_GB2312" w:eastAsia="仿宋_GB2312"/>
          <w:spacing w:val="6"/>
          <w:sz w:val="32"/>
          <w:szCs w:val="32"/>
        </w:rPr>
        <w:t xml:space="preserve">  </w:t>
      </w:r>
      <w:r>
        <w:rPr>
          <w:rFonts w:hint="eastAsia" w:ascii="仿宋_GB2312" w:hAnsi="仿宋" w:eastAsia="仿宋_GB2312"/>
          <w:sz w:val="32"/>
          <w:szCs w:val="32"/>
        </w:rPr>
        <w:t>本奖奖项分设传统文学组和网络文学组两个组别。</w:t>
      </w:r>
    </w:p>
    <w:p w14:paraId="37066727">
      <w:pPr>
        <w:pStyle w:val="2"/>
        <w:topLinePunct/>
        <w:spacing w:line="560" w:lineRule="exact"/>
        <w:ind w:firstLine="664" w:firstLineChars="200"/>
        <w:rPr>
          <w:rFonts w:ascii="仿宋_GB2312" w:hAnsi="仿宋" w:eastAsia="仿宋_GB2312"/>
          <w:sz w:val="32"/>
          <w:szCs w:val="32"/>
        </w:rPr>
      </w:pPr>
      <w:r>
        <w:rPr>
          <w:rFonts w:hint="eastAsia" w:ascii="黑体" w:hAnsi="黑体" w:eastAsia="黑体"/>
          <w:spacing w:val="6"/>
          <w:sz w:val="32"/>
          <w:szCs w:val="32"/>
        </w:rPr>
        <w:t xml:space="preserve">第六条  </w:t>
      </w:r>
      <w:r>
        <w:rPr>
          <w:rFonts w:hint="eastAsia" w:ascii="仿宋_GB2312" w:hAnsi="仿宋" w:eastAsia="仿宋_GB2312"/>
          <w:sz w:val="32"/>
          <w:szCs w:val="32"/>
        </w:rPr>
        <w:t>传统文学组和网络文学组分别评选茅盾新人奖获奖者10名，提名奖10名。已经获得过茅盾新人奖（不含提名奖）的作家不在征选范围。</w:t>
      </w:r>
    </w:p>
    <w:p w14:paraId="70CE3D42">
      <w:pPr>
        <w:pStyle w:val="2"/>
        <w:topLinePunct/>
        <w:spacing w:line="560" w:lineRule="exact"/>
        <w:ind w:firstLine="664" w:firstLineChars="200"/>
        <w:rPr>
          <w:rFonts w:ascii="仿宋_GB2312" w:hAnsi="仿宋" w:eastAsia="仿宋_GB2312"/>
          <w:sz w:val="32"/>
          <w:szCs w:val="32"/>
        </w:rPr>
      </w:pPr>
      <w:r>
        <w:rPr>
          <w:rFonts w:hint="eastAsia" w:ascii="黑体" w:hAnsi="黑体" w:eastAsia="黑体"/>
          <w:spacing w:val="6"/>
          <w:sz w:val="32"/>
          <w:szCs w:val="32"/>
        </w:rPr>
        <w:t xml:space="preserve">第七条 </w:t>
      </w:r>
      <w:r>
        <w:rPr>
          <w:rFonts w:hint="eastAsia" w:ascii="仿宋_GB2312" w:hAnsi="仿宋" w:eastAsia="仿宋_GB2312" w:cs="宋体"/>
          <w:sz w:val="32"/>
          <w:szCs w:val="32"/>
        </w:rPr>
        <w:t xml:space="preserve"> </w:t>
      </w:r>
      <w:r>
        <w:rPr>
          <w:rFonts w:hint="eastAsia" w:ascii="仿宋_GB2312" w:hAnsi="仿宋" w:eastAsia="仿宋_GB2312"/>
          <w:sz w:val="32"/>
          <w:szCs w:val="32"/>
        </w:rPr>
        <w:t>本奖奖励对象为全国</w:t>
      </w:r>
      <w:bookmarkStart w:id="0" w:name="OLE_LINK3"/>
      <w:r>
        <w:rPr>
          <w:rFonts w:hint="eastAsia" w:ascii="仿宋_GB2312" w:hAnsi="仿宋" w:eastAsia="仿宋_GB2312"/>
          <w:sz w:val="32"/>
          <w:szCs w:val="32"/>
        </w:rPr>
        <w:t>（含港澳地区）</w:t>
      </w:r>
      <w:bookmarkEnd w:id="0"/>
      <w:r>
        <w:rPr>
          <w:rFonts w:hint="eastAsia" w:ascii="仿宋_GB2312" w:hAnsi="仿宋" w:eastAsia="仿宋_GB2312"/>
          <w:sz w:val="32"/>
          <w:szCs w:val="32"/>
        </w:rPr>
        <w:t>年龄为45周岁以下（含45周岁）、近年来在文学创作或文学评论中成绩特别优异的青年作家、文学评论家。</w:t>
      </w:r>
    </w:p>
    <w:p w14:paraId="480D571A">
      <w:pPr>
        <w:topLinePunct/>
        <w:spacing w:line="560" w:lineRule="exact"/>
        <w:ind w:firstLine="664" w:firstLineChars="200"/>
        <w:rPr>
          <w:rFonts w:ascii="仿宋_GB2312" w:hAnsi="仿宋" w:eastAsia="仿宋_GB2312" w:cs="Courier New"/>
          <w:sz w:val="32"/>
          <w:szCs w:val="32"/>
        </w:rPr>
      </w:pPr>
      <w:r>
        <w:rPr>
          <w:rFonts w:hint="eastAsia" w:ascii="黑体" w:hAnsi="黑体" w:eastAsia="黑体"/>
          <w:spacing w:val="6"/>
          <w:sz w:val="32"/>
          <w:szCs w:val="32"/>
        </w:rPr>
        <w:t xml:space="preserve">第八条 </w:t>
      </w:r>
      <w:r>
        <w:rPr>
          <w:rFonts w:hint="eastAsia" w:ascii="仿宋_GB2312" w:hAnsi="仿宋" w:eastAsia="仿宋_GB2312" w:cs="宋体"/>
          <w:sz w:val="32"/>
          <w:szCs w:val="32"/>
        </w:rPr>
        <w:t xml:space="preserve"> </w:t>
      </w:r>
      <w:r>
        <w:rPr>
          <w:rFonts w:hint="eastAsia" w:ascii="仿宋_GB2312" w:hAnsi="仿宋" w:eastAsia="仿宋_GB2312" w:cs="Courier New"/>
          <w:sz w:val="32"/>
          <w:szCs w:val="32"/>
        </w:rPr>
        <w:t>茅盾新人奖（传统文学组）以作品体裁设小说、诗歌、散文、报告文学、文学评论、剧本（戏剧影视）等评奖门类，参评候选人可根据个人情况主要选择其中一种为参评门类，并以此提供参评材料，参评材料应主要为近五年代表作品。</w:t>
      </w:r>
    </w:p>
    <w:p w14:paraId="77804340">
      <w:pPr>
        <w:topLinePunct/>
        <w:spacing w:line="560" w:lineRule="exact"/>
        <w:ind w:firstLine="664" w:firstLineChars="200"/>
        <w:rPr>
          <w:rFonts w:ascii="仿宋_GB2312" w:hAnsi="仿宋" w:eastAsia="仿宋_GB2312" w:cs="Courier New"/>
          <w:sz w:val="32"/>
          <w:szCs w:val="32"/>
        </w:rPr>
      </w:pPr>
      <w:r>
        <w:rPr>
          <w:rFonts w:hint="eastAsia" w:ascii="黑体" w:hAnsi="黑体" w:eastAsia="黑体"/>
          <w:spacing w:val="6"/>
          <w:sz w:val="32"/>
          <w:szCs w:val="32"/>
        </w:rPr>
        <w:t xml:space="preserve">第九条  </w:t>
      </w:r>
      <w:r>
        <w:rPr>
          <w:rFonts w:hint="eastAsia" w:ascii="仿宋_GB2312" w:hAnsi="仿宋" w:eastAsia="仿宋_GB2312" w:cs="Courier New"/>
          <w:sz w:val="32"/>
          <w:szCs w:val="32"/>
        </w:rPr>
        <w:t>茅盾新人奖（网络文学组）的参评候选人近五年内至少已有两部完本作品，作品总字数在50万字以上，且近两年以来有新作品在网络上连载或发表。</w:t>
      </w:r>
    </w:p>
    <w:p w14:paraId="3E043825">
      <w:pPr>
        <w:topLinePunct/>
        <w:spacing w:line="560" w:lineRule="exact"/>
        <w:ind w:firstLine="640" w:firstLineChars="200"/>
        <w:rPr>
          <w:rFonts w:ascii="仿宋" w:hAnsi="仿宋" w:eastAsia="仿宋" w:cs="宋体"/>
          <w:sz w:val="32"/>
          <w:szCs w:val="32"/>
        </w:rPr>
      </w:pPr>
    </w:p>
    <w:p w14:paraId="747D2CF3">
      <w:pPr>
        <w:topLinePunct/>
        <w:spacing w:line="560" w:lineRule="exact"/>
        <w:jc w:val="center"/>
        <w:rPr>
          <w:rFonts w:ascii="黑体" w:hAnsi="黑体" w:eastAsia="黑体"/>
          <w:sz w:val="32"/>
          <w:szCs w:val="32"/>
        </w:rPr>
      </w:pPr>
      <w:r>
        <w:rPr>
          <w:rFonts w:hint="eastAsia" w:ascii="黑体" w:hAnsi="黑体" w:eastAsia="黑体"/>
          <w:sz w:val="32"/>
          <w:szCs w:val="32"/>
        </w:rPr>
        <w:t>第四章  组织机构</w:t>
      </w:r>
    </w:p>
    <w:p w14:paraId="7D127C26">
      <w:pPr>
        <w:topLinePunct/>
        <w:spacing w:line="560" w:lineRule="exact"/>
        <w:ind w:firstLine="640" w:firstLineChars="200"/>
        <w:rPr>
          <w:rFonts w:ascii="仿宋_GB2312" w:eastAsia="仿宋_GB2312"/>
          <w:sz w:val="32"/>
          <w:szCs w:val="32"/>
        </w:rPr>
      </w:pPr>
    </w:p>
    <w:p w14:paraId="5AA27F39">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w:t>
      </w:r>
      <w:r>
        <w:rPr>
          <w:rFonts w:hint="eastAsia" w:ascii="仿宋_GB2312" w:hAnsi="仿宋" w:eastAsia="仿宋_GB2312"/>
          <w:sz w:val="32"/>
          <w:szCs w:val="32"/>
        </w:rPr>
        <w:t>由主办单位聘请有关领导部门及有关方面人士若干名组成组织委员会，负责本奖的总体组织。</w:t>
      </w:r>
    </w:p>
    <w:p w14:paraId="0CC04D28">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cs="宋体"/>
          <w:sz w:val="32"/>
          <w:szCs w:val="32"/>
        </w:rPr>
        <w:t>第十一条</w:t>
      </w:r>
      <w:r>
        <w:rPr>
          <w:rFonts w:hint="eastAsia" w:ascii="仿宋_GB2312" w:hAnsi="仿宋" w:eastAsia="仿宋_GB2312" w:cs="宋体"/>
          <w:sz w:val="32"/>
          <w:szCs w:val="32"/>
        </w:rPr>
        <w:t xml:space="preserve">  </w:t>
      </w:r>
      <w:r>
        <w:rPr>
          <w:rFonts w:hint="eastAsia" w:ascii="仿宋_GB2312" w:hAnsi="仿宋" w:eastAsia="仿宋_GB2312"/>
          <w:sz w:val="32"/>
          <w:szCs w:val="32"/>
        </w:rPr>
        <w:t>由组委会聘请著名作家、评论家、学者分别组成传统文学组和网络文学组评奖委员会，负责本奖的具体评选。</w:t>
      </w:r>
    </w:p>
    <w:p w14:paraId="2EEB8B0F">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cs="宋体"/>
          <w:sz w:val="32"/>
          <w:szCs w:val="32"/>
        </w:rPr>
        <w:t>第十二条</w:t>
      </w:r>
      <w:r>
        <w:rPr>
          <w:rFonts w:hint="eastAsia" w:ascii="仿宋_GB2312" w:hAnsi="仿宋" w:eastAsia="仿宋_GB2312" w:cs="宋体"/>
          <w:sz w:val="32"/>
          <w:szCs w:val="32"/>
        </w:rPr>
        <w:t xml:space="preserve"> </w:t>
      </w:r>
      <w:r>
        <w:rPr>
          <w:rFonts w:hint="eastAsia" w:ascii="仿宋" w:hAnsi="仿宋" w:eastAsia="仿宋" w:cs="宋体"/>
          <w:sz w:val="32"/>
          <w:szCs w:val="32"/>
        </w:rPr>
        <w:t xml:space="preserve"> </w:t>
      </w:r>
      <w:r>
        <w:rPr>
          <w:rFonts w:hint="eastAsia" w:ascii="仿宋_GB2312" w:hAnsi="仿宋" w:eastAsia="仿宋_GB2312"/>
          <w:sz w:val="32"/>
          <w:szCs w:val="32"/>
        </w:rPr>
        <w:t>由组委会设立评奖办公室，负责评奖的具体组织工作，评奖办公室设在中华文学基金会。</w:t>
      </w:r>
    </w:p>
    <w:p w14:paraId="3C84D2F1">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w:t>
      </w:r>
      <w:r>
        <w:rPr>
          <w:rFonts w:ascii="黑体" w:hAnsi="黑体" w:eastAsia="黑体"/>
          <w:sz w:val="32"/>
          <w:szCs w:val="32"/>
        </w:rPr>
        <w:t>十</w:t>
      </w:r>
      <w:r>
        <w:rPr>
          <w:rFonts w:hint="eastAsia" w:ascii="黑体" w:hAnsi="黑体" w:eastAsia="黑体"/>
          <w:sz w:val="32"/>
          <w:szCs w:val="32"/>
        </w:rPr>
        <w:t>三</w:t>
      </w:r>
      <w:r>
        <w:rPr>
          <w:rFonts w:ascii="黑体" w:hAnsi="黑体"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由</w:t>
      </w:r>
      <w:r>
        <w:rPr>
          <w:rFonts w:ascii="仿宋_GB2312" w:hAnsi="仿宋" w:eastAsia="仿宋_GB2312"/>
          <w:sz w:val="32"/>
          <w:szCs w:val="32"/>
        </w:rPr>
        <w:t>组委会设立</w:t>
      </w:r>
      <w:r>
        <w:rPr>
          <w:rFonts w:hint="eastAsia" w:ascii="仿宋_GB2312" w:hAnsi="仿宋" w:eastAsia="仿宋_GB2312"/>
          <w:sz w:val="32"/>
          <w:szCs w:val="32"/>
        </w:rPr>
        <w:t>评奖</w:t>
      </w:r>
      <w:r>
        <w:rPr>
          <w:rFonts w:ascii="仿宋_GB2312" w:hAnsi="仿宋" w:eastAsia="仿宋_GB2312"/>
          <w:sz w:val="32"/>
          <w:szCs w:val="32"/>
        </w:rPr>
        <w:t>监督小组，负责评奖过程中的</w:t>
      </w:r>
      <w:r>
        <w:rPr>
          <w:rFonts w:hint="eastAsia" w:ascii="仿宋_GB2312" w:hAnsi="仿宋" w:eastAsia="仿宋_GB2312"/>
          <w:sz w:val="32"/>
          <w:szCs w:val="32"/>
        </w:rPr>
        <w:t>监</w:t>
      </w:r>
      <w:r>
        <w:rPr>
          <w:rFonts w:ascii="仿宋_GB2312" w:hAnsi="仿宋" w:eastAsia="仿宋_GB2312"/>
          <w:sz w:val="32"/>
          <w:szCs w:val="32"/>
        </w:rPr>
        <w:t>督</w:t>
      </w:r>
      <w:r>
        <w:rPr>
          <w:rFonts w:hint="eastAsia" w:ascii="仿宋_GB2312" w:hAnsi="仿宋" w:eastAsia="仿宋_GB2312"/>
          <w:sz w:val="32"/>
          <w:szCs w:val="32"/>
        </w:rPr>
        <w:t>检</w:t>
      </w:r>
      <w:r>
        <w:rPr>
          <w:rFonts w:ascii="仿宋_GB2312" w:hAnsi="仿宋" w:eastAsia="仿宋_GB2312"/>
          <w:sz w:val="32"/>
          <w:szCs w:val="32"/>
        </w:rPr>
        <w:t>查以及对于社会</w:t>
      </w:r>
      <w:r>
        <w:rPr>
          <w:rFonts w:hint="eastAsia" w:ascii="仿宋_GB2312" w:hAnsi="仿宋" w:eastAsia="仿宋_GB2312"/>
          <w:sz w:val="32"/>
          <w:szCs w:val="32"/>
        </w:rPr>
        <w:t>投诉</w:t>
      </w:r>
      <w:r>
        <w:rPr>
          <w:rFonts w:ascii="仿宋_GB2312" w:hAnsi="仿宋" w:eastAsia="仿宋_GB2312"/>
          <w:sz w:val="32"/>
          <w:szCs w:val="32"/>
        </w:rPr>
        <w:t>举报的处理和反馈。</w:t>
      </w:r>
    </w:p>
    <w:p w14:paraId="1A0FA744">
      <w:pPr>
        <w:topLinePunct/>
        <w:spacing w:line="560" w:lineRule="exact"/>
        <w:ind w:firstLine="640" w:firstLineChars="200"/>
        <w:rPr>
          <w:rFonts w:ascii="仿宋" w:hAnsi="仿宋" w:eastAsia="仿宋" w:cs="宋体"/>
          <w:sz w:val="32"/>
          <w:szCs w:val="32"/>
        </w:rPr>
      </w:pPr>
    </w:p>
    <w:p w14:paraId="032D6431">
      <w:pPr>
        <w:topLinePunct/>
        <w:spacing w:line="560" w:lineRule="exact"/>
        <w:jc w:val="center"/>
        <w:rPr>
          <w:rFonts w:ascii="黑体" w:eastAsia="黑体"/>
          <w:sz w:val="32"/>
          <w:szCs w:val="32"/>
        </w:rPr>
      </w:pPr>
      <w:r>
        <w:rPr>
          <w:rFonts w:hint="eastAsia" w:ascii="黑体" w:eastAsia="黑体"/>
          <w:sz w:val="32"/>
          <w:szCs w:val="32"/>
        </w:rPr>
        <w:t>第五章  申报程序</w:t>
      </w:r>
    </w:p>
    <w:p w14:paraId="68CD24DA">
      <w:pPr>
        <w:topLinePunct/>
        <w:spacing w:line="560" w:lineRule="exact"/>
        <w:ind w:firstLine="640" w:firstLineChars="200"/>
        <w:rPr>
          <w:rFonts w:ascii="仿宋_GB2312" w:eastAsia="仿宋_GB2312"/>
          <w:sz w:val="32"/>
          <w:szCs w:val="32"/>
        </w:rPr>
      </w:pPr>
    </w:p>
    <w:p w14:paraId="44D039DD">
      <w:pPr>
        <w:pStyle w:val="2"/>
        <w:topLinePunct/>
        <w:spacing w:line="560" w:lineRule="exact"/>
        <w:ind w:firstLine="640" w:firstLineChars="200"/>
        <w:rPr>
          <w:rFonts w:ascii="仿宋_GB2312" w:hAnsi="仿宋"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w:t>
      </w:r>
      <w:r>
        <w:rPr>
          <w:rFonts w:hint="eastAsia" w:ascii="仿宋_GB2312" w:eastAsia="仿宋_GB2312"/>
          <w:color w:val="FF0000"/>
          <w:sz w:val="32"/>
          <w:szCs w:val="32"/>
        </w:rPr>
        <w:t xml:space="preserve"> </w:t>
      </w:r>
      <w:r>
        <w:rPr>
          <w:rFonts w:hint="eastAsia" w:ascii="仿宋_GB2312" w:hAnsi="仿宋" w:eastAsia="仿宋_GB2312"/>
          <w:sz w:val="32"/>
          <w:szCs w:val="32"/>
        </w:rPr>
        <w:t>参评候选人的征选工作由评奖办公室负责。评奖办公室向各推荐单位发出评奖通知，并通过网络媒体向社会公开发布。由各推荐单位在规定期限内，向评奖办公室报送符合要求的参评候选人。</w:t>
      </w:r>
    </w:p>
    <w:p w14:paraId="079ABD87">
      <w:pPr>
        <w:pStyle w:val="2"/>
        <w:topLinePunct/>
        <w:spacing w:line="560" w:lineRule="exact"/>
        <w:ind w:firstLine="640" w:firstLineChars="200"/>
        <w:rPr>
          <w:rFonts w:ascii="仿宋" w:hAnsi="仿宋" w:eastAsia="仿宋" w:cs="宋体"/>
          <w:sz w:val="32"/>
          <w:szCs w:val="32"/>
          <w:u w:val="single"/>
        </w:rPr>
      </w:pPr>
      <w:r>
        <w:rPr>
          <w:rFonts w:hint="eastAsia" w:ascii="黑体" w:hAnsi="黑体" w:eastAsia="黑体" w:cs="宋体"/>
          <w:sz w:val="32"/>
          <w:szCs w:val="32"/>
        </w:rPr>
        <w:t>第十五条</w:t>
      </w:r>
      <w:r>
        <w:rPr>
          <w:rFonts w:hint="eastAsia" w:ascii="仿宋_GB2312" w:hAnsi="仿宋" w:eastAsia="仿宋_GB2312" w:cs="宋体"/>
          <w:sz w:val="32"/>
          <w:szCs w:val="32"/>
        </w:rPr>
        <w:t xml:space="preserve">  </w:t>
      </w:r>
      <w:r>
        <w:rPr>
          <w:rFonts w:hint="eastAsia" w:ascii="仿宋_GB2312" w:hAnsi="仿宋" w:eastAsia="仿宋_GB2312"/>
          <w:sz w:val="32"/>
          <w:szCs w:val="32"/>
        </w:rPr>
        <w:t>传统文学组的参评候选人推荐。各推荐单位可推荐不超过3名的作家参评。推荐单位包括：中国作家协会各团体会员，中国作家协会所属各学会，军委政治工作部宣传局及其他定向征集单位。</w:t>
      </w:r>
    </w:p>
    <w:p w14:paraId="73839C71">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cs="宋体"/>
          <w:sz w:val="32"/>
          <w:szCs w:val="32"/>
        </w:rPr>
        <w:t>第十六条</w:t>
      </w:r>
      <w:r>
        <w:rPr>
          <w:rFonts w:hint="eastAsia" w:ascii="仿宋_GB2312" w:hAnsi="仿宋" w:eastAsia="仿宋_GB2312" w:cs="宋体"/>
          <w:sz w:val="32"/>
          <w:szCs w:val="32"/>
        </w:rPr>
        <w:t xml:space="preserve">  </w:t>
      </w:r>
      <w:r>
        <w:rPr>
          <w:rFonts w:hint="eastAsia" w:ascii="仿宋_GB2312" w:hAnsi="仿宋" w:eastAsia="仿宋_GB2312"/>
          <w:sz w:val="32"/>
          <w:szCs w:val="32"/>
        </w:rPr>
        <w:t>网络文学组的参评候选人推荐。各推荐单位可推荐不超过5名的网络作家参评。推荐单位为中国作家协会各团体会员。</w:t>
      </w:r>
    </w:p>
    <w:p w14:paraId="455B2A94">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cs="宋体"/>
          <w:sz w:val="32"/>
          <w:szCs w:val="32"/>
        </w:rPr>
        <w:t xml:space="preserve">第十七条  </w:t>
      </w:r>
      <w:r>
        <w:rPr>
          <w:rFonts w:hint="eastAsia" w:ascii="仿宋_GB2312" w:hAnsi="仿宋" w:eastAsia="仿宋_GB2312"/>
          <w:sz w:val="32"/>
          <w:szCs w:val="32"/>
        </w:rPr>
        <w:t>评委会有权根据实际情况，在各推荐单位报送的参评候选人之外，以组委会委员和评委会委员3人联名推荐的方式，增添参评候选人。每次联名仅限推荐1名参评候选人，且每名委员参与联名推荐不得超过2次。</w:t>
      </w:r>
    </w:p>
    <w:p w14:paraId="0E58BDBB">
      <w:pPr>
        <w:topLinePunct/>
        <w:spacing w:line="560" w:lineRule="exact"/>
        <w:ind w:firstLine="640" w:firstLineChars="200"/>
        <w:rPr>
          <w:rFonts w:ascii="仿宋_GB2312" w:eastAsia="仿宋_GB2312"/>
          <w:sz w:val="32"/>
          <w:szCs w:val="32"/>
        </w:rPr>
      </w:pPr>
    </w:p>
    <w:p w14:paraId="1881D208">
      <w:pPr>
        <w:pStyle w:val="2"/>
        <w:topLinePunct/>
        <w:spacing w:line="560" w:lineRule="exact"/>
        <w:jc w:val="center"/>
        <w:rPr>
          <w:rFonts w:ascii="黑体" w:eastAsia="黑体"/>
          <w:sz w:val="32"/>
          <w:szCs w:val="32"/>
        </w:rPr>
      </w:pPr>
      <w:r>
        <w:rPr>
          <w:rFonts w:hint="eastAsia" w:ascii="黑体" w:eastAsia="黑体"/>
          <w:sz w:val="32"/>
          <w:szCs w:val="32"/>
        </w:rPr>
        <w:t>第六章  评选与颁奖</w:t>
      </w:r>
    </w:p>
    <w:p w14:paraId="0457A075">
      <w:pPr>
        <w:pStyle w:val="2"/>
        <w:topLinePunct/>
        <w:spacing w:line="560" w:lineRule="exact"/>
        <w:ind w:firstLine="640" w:firstLineChars="200"/>
        <w:rPr>
          <w:rFonts w:ascii="黑体" w:eastAsia="黑体"/>
          <w:sz w:val="32"/>
          <w:szCs w:val="32"/>
        </w:rPr>
      </w:pPr>
    </w:p>
    <w:p w14:paraId="78849943">
      <w:pPr>
        <w:pStyle w:val="2"/>
        <w:topLinePunct/>
        <w:spacing w:line="560" w:lineRule="exact"/>
        <w:ind w:firstLine="640" w:firstLineChars="200"/>
        <w:rPr>
          <w:rFonts w:ascii="仿宋_GB2312" w:hAnsi="仿宋" w:eastAsia="仿宋_GB2312"/>
          <w:sz w:val="32"/>
          <w:szCs w:val="32"/>
        </w:rPr>
      </w:pPr>
      <w:r>
        <w:rPr>
          <w:rFonts w:hint="eastAsia" w:ascii="黑体" w:eastAsia="黑体"/>
          <w:sz w:val="32"/>
          <w:szCs w:val="32"/>
        </w:rPr>
        <w:t>第十</w:t>
      </w:r>
      <w:r>
        <w:rPr>
          <w:rFonts w:hint="eastAsia" w:ascii="黑体" w:hAnsi="黑体" w:eastAsia="黑体" w:cs="宋体"/>
          <w:sz w:val="32"/>
          <w:szCs w:val="32"/>
        </w:rPr>
        <w:t>八</w:t>
      </w:r>
      <w:r>
        <w:rPr>
          <w:rFonts w:hint="eastAsia" w:ascii="黑体" w:eastAsia="黑体"/>
          <w:sz w:val="32"/>
          <w:szCs w:val="32"/>
        </w:rPr>
        <w:t xml:space="preserve">条  </w:t>
      </w:r>
      <w:r>
        <w:rPr>
          <w:rFonts w:hint="eastAsia" w:ascii="仿宋_GB2312" w:hAnsi="仿宋" w:eastAsia="仿宋_GB2312"/>
          <w:sz w:val="32"/>
          <w:szCs w:val="32"/>
        </w:rPr>
        <w:t>评委在认真审阅、评议申报材料的基础上，经充分协商讨论，以记名投票的方式确定获奖人。参评候选人获得不少于评委总数三分之二的票数，方可当选。</w:t>
      </w:r>
    </w:p>
    <w:p w14:paraId="05FA02BB">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cs="宋体"/>
          <w:sz w:val="32"/>
          <w:szCs w:val="32"/>
        </w:rPr>
        <w:t>第十九条</w:t>
      </w:r>
      <w:r>
        <w:rPr>
          <w:rFonts w:hint="eastAsia" w:ascii="仿宋_GB2312" w:hAnsi="仿宋" w:eastAsia="仿宋_GB2312" w:cs="宋体"/>
          <w:sz w:val="32"/>
          <w:szCs w:val="32"/>
        </w:rPr>
        <w:t xml:space="preserve">  </w:t>
      </w:r>
      <w:r>
        <w:rPr>
          <w:rFonts w:hint="eastAsia" w:ascii="仿宋_GB2312" w:hAnsi="仿宋" w:eastAsia="仿宋_GB2312"/>
          <w:sz w:val="32"/>
          <w:szCs w:val="32"/>
        </w:rPr>
        <w:t>评委评选投票分两轮进行。第一轮投票选出不超过20名获奖候选人，作为被提名人进入第二轮；第二轮投票最终确定10名获奖者。在每一轮投票中，如末位候选人出现得票数相同的情况，须进行再次投票，直至选出足额人选。</w:t>
      </w:r>
    </w:p>
    <w:p w14:paraId="7433A38F">
      <w:pPr>
        <w:pStyle w:val="2"/>
        <w:topLinePunct/>
        <w:spacing w:line="560" w:lineRule="exact"/>
        <w:ind w:firstLine="640" w:firstLineChars="200"/>
        <w:rPr>
          <w:rFonts w:ascii="仿宋_GB2312" w:hAnsi="仿宋" w:eastAsia="仿宋_GB2312"/>
          <w:sz w:val="32"/>
          <w:szCs w:val="32"/>
        </w:rPr>
      </w:pPr>
      <w:r>
        <w:rPr>
          <w:rFonts w:hint="eastAsia" w:ascii="黑体" w:hAnsi="黑体" w:eastAsia="黑体" w:cs="宋体"/>
          <w:sz w:val="32"/>
          <w:szCs w:val="32"/>
        </w:rPr>
        <w:t>第二十条</w:t>
      </w:r>
      <w:r>
        <w:rPr>
          <w:rFonts w:hint="eastAsia" w:ascii="仿宋_GB2312" w:hAnsi="仿宋" w:eastAsia="仿宋_GB2312" w:cs="宋体"/>
          <w:sz w:val="32"/>
          <w:szCs w:val="32"/>
        </w:rPr>
        <w:t xml:space="preserve">  </w:t>
      </w:r>
      <w:r>
        <w:rPr>
          <w:rFonts w:hint="eastAsia" w:ascii="仿宋_GB2312" w:hAnsi="仿宋" w:eastAsia="仿宋_GB2312"/>
          <w:sz w:val="32"/>
          <w:szCs w:val="32"/>
        </w:rPr>
        <w:t>评奖揭晓。评选结果由主办单位统一发布并举行颁奖典礼。</w:t>
      </w:r>
    </w:p>
    <w:p w14:paraId="31D9DF5F">
      <w:pPr>
        <w:topLinePunct/>
        <w:spacing w:line="560" w:lineRule="exact"/>
        <w:ind w:firstLine="664" w:firstLineChars="200"/>
        <w:rPr>
          <w:rFonts w:ascii="仿宋_GB2312" w:hAnsi="仿宋" w:eastAsia="仿宋_GB2312" w:cs="Courier New"/>
          <w:sz w:val="32"/>
          <w:szCs w:val="32"/>
        </w:rPr>
      </w:pPr>
      <w:r>
        <w:rPr>
          <w:rFonts w:hint="eastAsia" w:ascii="黑体" w:hAnsi="黑体" w:eastAsia="黑体"/>
          <w:spacing w:val="6"/>
          <w:sz w:val="32"/>
          <w:szCs w:val="32"/>
        </w:rPr>
        <w:t>第二十一条</w:t>
      </w:r>
      <w:r>
        <w:rPr>
          <w:rFonts w:hint="eastAsia" w:ascii="仿宋_GB2312" w:eastAsia="仿宋_GB2312"/>
          <w:spacing w:val="6"/>
          <w:sz w:val="32"/>
          <w:szCs w:val="32"/>
        </w:rPr>
        <w:t xml:space="preserve">  </w:t>
      </w:r>
      <w:r>
        <w:rPr>
          <w:rFonts w:hint="eastAsia" w:ascii="仿宋_GB2312" w:hAnsi="仿宋" w:eastAsia="仿宋_GB2312" w:cs="Courier New"/>
          <w:sz w:val="32"/>
          <w:szCs w:val="32"/>
        </w:rPr>
        <w:t>本奖授予新人奖获奖者证书、奖杯、奖金，奖金依据国家有关规定由获奖者本人缴纳个人所得税，由主办单位代扣代缴；提名奖获奖者只颁发证书。</w:t>
      </w:r>
    </w:p>
    <w:p w14:paraId="406E0D1A">
      <w:pPr>
        <w:topLinePunct/>
        <w:spacing w:line="560" w:lineRule="exact"/>
        <w:ind w:firstLine="664" w:firstLineChars="200"/>
        <w:rPr>
          <w:rFonts w:ascii="仿宋_GB2312" w:hAnsi="仿宋" w:eastAsia="仿宋_GB2312" w:cs="Courier New"/>
          <w:sz w:val="32"/>
          <w:szCs w:val="32"/>
        </w:rPr>
      </w:pPr>
      <w:r>
        <w:rPr>
          <w:rFonts w:hint="eastAsia" w:ascii="黑体" w:hAnsi="黑体" w:eastAsia="黑体"/>
          <w:spacing w:val="6"/>
          <w:sz w:val="32"/>
          <w:szCs w:val="32"/>
        </w:rPr>
        <w:t>第</w:t>
      </w:r>
      <w:r>
        <w:rPr>
          <w:rFonts w:hint="eastAsia" w:ascii="黑体" w:eastAsia="黑体"/>
          <w:sz w:val="32"/>
          <w:szCs w:val="32"/>
        </w:rPr>
        <w:t>二</w:t>
      </w:r>
      <w:r>
        <w:rPr>
          <w:rFonts w:hint="eastAsia" w:ascii="黑体" w:hAnsi="黑体" w:eastAsia="黑体"/>
          <w:spacing w:val="6"/>
          <w:sz w:val="32"/>
          <w:szCs w:val="32"/>
        </w:rPr>
        <w:t xml:space="preserve">十二条  </w:t>
      </w:r>
      <w:r>
        <w:rPr>
          <w:rFonts w:hint="eastAsia" w:ascii="仿宋_GB2312" w:hAnsi="仿宋" w:eastAsia="仿宋_GB2312" w:cs="Courier New"/>
          <w:sz w:val="32"/>
          <w:szCs w:val="32"/>
        </w:rPr>
        <w:t>为促进文学公益事业的发展，中华文学基金会将邀请茅盾新人奖获得者在获奖后的两年内至少参与一场文学公益活动。申请者一旦申报参评新人奖，即视为同意作出参与的承诺。</w:t>
      </w:r>
    </w:p>
    <w:p w14:paraId="593744B4">
      <w:pPr>
        <w:topLinePunct/>
        <w:spacing w:line="560" w:lineRule="exact"/>
        <w:ind w:firstLine="640" w:firstLineChars="200"/>
        <w:rPr>
          <w:rFonts w:ascii="仿宋_GB2312"/>
          <w:sz w:val="32"/>
          <w:szCs w:val="32"/>
        </w:rPr>
      </w:pPr>
    </w:p>
    <w:p w14:paraId="100E9833">
      <w:pPr>
        <w:topLinePunct/>
        <w:spacing w:line="560" w:lineRule="exact"/>
        <w:jc w:val="center"/>
        <w:rPr>
          <w:rFonts w:ascii="黑体" w:eastAsia="黑体"/>
          <w:sz w:val="32"/>
          <w:szCs w:val="32"/>
        </w:rPr>
      </w:pPr>
      <w:r>
        <w:rPr>
          <w:rFonts w:hint="eastAsia" w:ascii="黑体" w:eastAsia="黑体"/>
          <w:sz w:val="32"/>
          <w:szCs w:val="32"/>
        </w:rPr>
        <w:t>第七章  资  金</w:t>
      </w:r>
    </w:p>
    <w:p w14:paraId="472B5729">
      <w:pPr>
        <w:topLinePunct/>
        <w:spacing w:line="560" w:lineRule="exact"/>
        <w:ind w:firstLine="640" w:firstLineChars="200"/>
        <w:rPr>
          <w:rFonts w:ascii="仿宋_GB2312" w:eastAsia="仿宋_GB2312"/>
          <w:sz w:val="32"/>
          <w:szCs w:val="32"/>
        </w:rPr>
      </w:pPr>
    </w:p>
    <w:p w14:paraId="723B385D">
      <w:pPr>
        <w:topLinePunct/>
        <w:spacing w:line="560" w:lineRule="exact"/>
        <w:ind w:firstLine="640" w:firstLineChars="200"/>
        <w:rPr>
          <w:rFonts w:ascii="仿宋_GB2312" w:hAnsi="仿宋" w:eastAsia="仿宋_GB2312" w:cs="Courier New"/>
          <w:sz w:val="32"/>
          <w:szCs w:val="32"/>
        </w:rPr>
      </w:pPr>
      <w:r>
        <w:rPr>
          <w:rFonts w:hint="eastAsia" w:ascii="黑体" w:eastAsia="黑体"/>
          <w:sz w:val="32"/>
          <w:szCs w:val="32"/>
        </w:rPr>
        <w:t>第二十三条</w:t>
      </w:r>
      <w:r>
        <w:rPr>
          <w:rFonts w:hint="eastAsia" w:ascii="仿宋_GB2312" w:eastAsia="仿宋_GB2312"/>
          <w:sz w:val="32"/>
          <w:szCs w:val="32"/>
        </w:rPr>
        <w:t xml:space="preserve">  </w:t>
      </w:r>
      <w:r>
        <w:rPr>
          <w:rFonts w:hint="eastAsia" w:ascii="仿宋_GB2312" w:hAnsi="仿宋" w:eastAsia="仿宋_GB2312" w:cs="Courier New"/>
          <w:sz w:val="32"/>
          <w:szCs w:val="32"/>
        </w:rPr>
        <w:t>本奖评奖、颁奖所需资金来源为主办单位自筹，以及热心于文学事业的企事业单位、机构和个人的资助。</w:t>
      </w:r>
    </w:p>
    <w:p w14:paraId="50AF75A9">
      <w:pPr>
        <w:topLinePunct/>
        <w:spacing w:line="560" w:lineRule="exact"/>
        <w:ind w:firstLine="640" w:firstLineChars="200"/>
        <w:rPr>
          <w:rFonts w:ascii="仿宋_GB2312" w:eastAsia="仿宋_GB2312"/>
          <w:sz w:val="32"/>
          <w:szCs w:val="32"/>
        </w:rPr>
      </w:pPr>
    </w:p>
    <w:p w14:paraId="76971893">
      <w:pPr>
        <w:topLinePunct/>
        <w:spacing w:line="560" w:lineRule="exact"/>
        <w:jc w:val="center"/>
        <w:rPr>
          <w:rFonts w:ascii="黑体" w:eastAsia="黑体"/>
          <w:sz w:val="32"/>
          <w:szCs w:val="32"/>
        </w:rPr>
      </w:pPr>
      <w:r>
        <w:rPr>
          <w:rFonts w:hint="eastAsia" w:ascii="黑体" w:eastAsia="黑体"/>
          <w:sz w:val="32"/>
          <w:szCs w:val="32"/>
        </w:rPr>
        <w:t>第八章  附  则</w:t>
      </w:r>
    </w:p>
    <w:p w14:paraId="0FAE8FB3">
      <w:pPr>
        <w:topLinePunct/>
        <w:spacing w:line="560" w:lineRule="exact"/>
        <w:ind w:firstLine="640" w:firstLineChars="200"/>
        <w:rPr>
          <w:rFonts w:ascii="仿宋_GB2312" w:eastAsia="仿宋_GB2312"/>
          <w:sz w:val="32"/>
          <w:szCs w:val="32"/>
        </w:rPr>
      </w:pPr>
    </w:p>
    <w:p w14:paraId="4989AE10">
      <w:pPr>
        <w:topLinePunct/>
        <w:spacing w:line="560" w:lineRule="exact"/>
        <w:ind w:firstLine="640" w:firstLineChars="200"/>
        <w:rPr>
          <w:rFonts w:ascii="仿宋_GB2312" w:hAnsi="仿宋" w:eastAsia="仿宋_GB2312" w:cs="Courier New"/>
          <w:sz w:val="32"/>
          <w:szCs w:val="32"/>
        </w:rPr>
      </w:pPr>
      <w:r>
        <w:rPr>
          <w:rFonts w:hint="eastAsia" w:ascii="黑体" w:eastAsia="黑体"/>
          <w:sz w:val="32"/>
          <w:szCs w:val="32"/>
        </w:rPr>
        <w:t>第二十四条</w:t>
      </w:r>
      <w:r>
        <w:rPr>
          <w:rFonts w:hint="eastAsia" w:ascii="仿宋_GB2312" w:eastAsia="仿宋_GB2312"/>
          <w:sz w:val="32"/>
          <w:szCs w:val="32"/>
        </w:rPr>
        <w:t xml:space="preserve"> </w:t>
      </w:r>
      <w:r>
        <w:rPr>
          <w:rFonts w:hint="eastAsia" w:ascii="仿宋" w:hAnsi="仿宋" w:eastAsia="仿宋"/>
          <w:sz w:val="32"/>
          <w:szCs w:val="32"/>
        </w:rPr>
        <w:t xml:space="preserve"> </w:t>
      </w:r>
      <w:r>
        <w:rPr>
          <w:rFonts w:hint="eastAsia" w:ascii="仿宋_GB2312" w:hAnsi="仿宋" w:eastAsia="仿宋_GB2312" w:cs="Courier New"/>
          <w:sz w:val="32"/>
          <w:szCs w:val="32"/>
        </w:rPr>
        <w:t>本章程由本奖组委会及评奖办公室负责解释，自发布之日起施行。</w:t>
      </w:r>
    </w:p>
    <w:sectPr>
      <w:footerReference r:id="rId3" w:type="default"/>
      <w:footerReference r:id="rId4" w:type="even"/>
      <w:pgSz w:w="11906" w:h="16838"/>
      <w:pgMar w:top="1418" w:right="1474" w:bottom="1134" w:left="1474"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3D24">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4148D15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5607">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3A36CF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1A"/>
    <w:rsid w:val="00000BE5"/>
    <w:rsid w:val="00003A69"/>
    <w:rsid w:val="00013DDB"/>
    <w:rsid w:val="00023675"/>
    <w:rsid w:val="000344B1"/>
    <w:rsid w:val="00051994"/>
    <w:rsid w:val="00055B01"/>
    <w:rsid w:val="000737BE"/>
    <w:rsid w:val="000A77CB"/>
    <w:rsid w:val="000A7AC8"/>
    <w:rsid w:val="000C787A"/>
    <w:rsid w:val="000D1B1C"/>
    <w:rsid w:val="000D2DAF"/>
    <w:rsid w:val="000D4C2E"/>
    <w:rsid w:val="000F5F87"/>
    <w:rsid w:val="0011091B"/>
    <w:rsid w:val="001302DC"/>
    <w:rsid w:val="0014551F"/>
    <w:rsid w:val="001474C1"/>
    <w:rsid w:val="00151613"/>
    <w:rsid w:val="00173CC9"/>
    <w:rsid w:val="00177BD0"/>
    <w:rsid w:val="001840BB"/>
    <w:rsid w:val="00192B03"/>
    <w:rsid w:val="001A4DF6"/>
    <w:rsid w:val="001B22BD"/>
    <w:rsid w:val="001B2ACA"/>
    <w:rsid w:val="001D2C83"/>
    <w:rsid w:val="0020027D"/>
    <w:rsid w:val="00231A5F"/>
    <w:rsid w:val="0024552D"/>
    <w:rsid w:val="00250930"/>
    <w:rsid w:val="00262B82"/>
    <w:rsid w:val="0026588D"/>
    <w:rsid w:val="00276B52"/>
    <w:rsid w:val="002937C7"/>
    <w:rsid w:val="002A69FA"/>
    <w:rsid w:val="002A7A65"/>
    <w:rsid w:val="002C69F8"/>
    <w:rsid w:val="002E030C"/>
    <w:rsid w:val="002E3F04"/>
    <w:rsid w:val="002F6C5F"/>
    <w:rsid w:val="0031398B"/>
    <w:rsid w:val="003242E2"/>
    <w:rsid w:val="00340623"/>
    <w:rsid w:val="00342B32"/>
    <w:rsid w:val="0039031A"/>
    <w:rsid w:val="00391193"/>
    <w:rsid w:val="00393C19"/>
    <w:rsid w:val="00394E87"/>
    <w:rsid w:val="003A6D76"/>
    <w:rsid w:val="003B4920"/>
    <w:rsid w:val="003C132B"/>
    <w:rsid w:val="003E4542"/>
    <w:rsid w:val="004216F3"/>
    <w:rsid w:val="0042545B"/>
    <w:rsid w:val="0044064E"/>
    <w:rsid w:val="004704DD"/>
    <w:rsid w:val="004771C1"/>
    <w:rsid w:val="00487F91"/>
    <w:rsid w:val="00496CD7"/>
    <w:rsid w:val="004A05EE"/>
    <w:rsid w:val="004A54C3"/>
    <w:rsid w:val="004C4D4A"/>
    <w:rsid w:val="004D4026"/>
    <w:rsid w:val="004D6212"/>
    <w:rsid w:val="00574406"/>
    <w:rsid w:val="00591A14"/>
    <w:rsid w:val="00591F67"/>
    <w:rsid w:val="005B2C6A"/>
    <w:rsid w:val="005C4D93"/>
    <w:rsid w:val="005E3FF6"/>
    <w:rsid w:val="005E7588"/>
    <w:rsid w:val="005F21F6"/>
    <w:rsid w:val="005F48DD"/>
    <w:rsid w:val="0061799F"/>
    <w:rsid w:val="00622823"/>
    <w:rsid w:val="00623F18"/>
    <w:rsid w:val="0064060D"/>
    <w:rsid w:val="00640945"/>
    <w:rsid w:val="00647170"/>
    <w:rsid w:val="00683D33"/>
    <w:rsid w:val="0069765C"/>
    <w:rsid w:val="006A21AD"/>
    <w:rsid w:val="006A41B7"/>
    <w:rsid w:val="006B3D6E"/>
    <w:rsid w:val="006C2633"/>
    <w:rsid w:val="006C6119"/>
    <w:rsid w:val="006D609F"/>
    <w:rsid w:val="006E6DB2"/>
    <w:rsid w:val="006F5CBF"/>
    <w:rsid w:val="00710BB4"/>
    <w:rsid w:val="0071547C"/>
    <w:rsid w:val="00745E74"/>
    <w:rsid w:val="007531EA"/>
    <w:rsid w:val="0076070E"/>
    <w:rsid w:val="007917BE"/>
    <w:rsid w:val="00793B75"/>
    <w:rsid w:val="007B54AE"/>
    <w:rsid w:val="007F7655"/>
    <w:rsid w:val="00816FEE"/>
    <w:rsid w:val="008245E7"/>
    <w:rsid w:val="00881737"/>
    <w:rsid w:val="00885D66"/>
    <w:rsid w:val="00894505"/>
    <w:rsid w:val="008A60BC"/>
    <w:rsid w:val="008B5642"/>
    <w:rsid w:val="008F2E96"/>
    <w:rsid w:val="00902B4D"/>
    <w:rsid w:val="00915750"/>
    <w:rsid w:val="00946C5C"/>
    <w:rsid w:val="00951C48"/>
    <w:rsid w:val="00954B74"/>
    <w:rsid w:val="00970FA3"/>
    <w:rsid w:val="009747CE"/>
    <w:rsid w:val="009917FD"/>
    <w:rsid w:val="009B7F9B"/>
    <w:rsid w:val="009F11D4"/>
    <w:rsid w:val="009F765E"/>
    <w:rsid w:val="00A0071A"/>
    <w:rsid w:val="00A02830"/>
    <w:rsid w:val="00A1442C"/>
    <w:rsid w:val="00A14E49"/>
    <w:rsid w:val="00A34C1B"/>
    <w:rsid w:val="00A665B9"/>
    <w:rsid w:val="00A73EB0"/>
    <w:rsid w:val="00A82D9C"/>
    <w:rsid w:val="00A8799F"/>
    <w:rsid w:val="00A93791"/>
    <w:rsid w:val="00A94DC1"/>
    <w:rsid w:val="00AF24CF"/>
    <w:rsid w:val="00AF383F"/>
    <w:rsid w:val="00AF4E9D"/>
    <w:rsid w:val="00B36BA4"/>
    <w:rsid w:val="00B4038A"/>
    <w:rsid w:val="00B43658"/>
    <w:rsid w:val="00B43BF8"/>
    <w:rsid w:val="00B700EA"/>
    <w:rsid w:val="00B74455"/>
    <w:rsid w:val="00B74F0B"/>
    <w:rsid w:val="00B85B3F"/>
    <w:rsid w:val="00B906DA"/>
    <w:rsid w:val="00BA4F71"/>
    <w:rsid w:val="00BA586B"/>
    <w:rsid w:val="00BA7F93"/>
    <w:rsid w:val="00BE2CC2"/>
    <w:rsid w:val="00C030E4"/>
    <w:rsid w:val="00C037DA"/>
    <w:rsid w:val="00C07C92"/>
    <w:rsid w:val="00C17361"/>
    <w:rsid w:val="00C20C44"/>
    <w:rsid w:val="00C323F8"/>
    <w:rsid w:val="00C35C65"/>
    <w:rsid w:val="00C97913"/>
    <w:rsid w:val="00CB03B8"/>
    <w:rsid w:val="00CC2E59"/>
    <w:rsid w:val="00CC7745"/>
    <w:rsid w:val="00CF28A9"/>
    <w:rsid w:val="00D07897"/>
    <w:rsid w:val="00D166AF"/>
    <w:rsid w:val="00D166EC"/>
    <w:rsid w:val="00D20776"/>
    <w:rsid w:val="00D230D0"/>
    <w:rsid w:val="00D32270"/>
    <w:rsid w:val="00D4146E"/>
    <w:rsid w:val="00D44FE7"/>
    <w:rsid w:val="00D53C29"/>
    <w:rsid w:val="00D6104F"/>
    <w:rsid w:val="00D77D99"/>
    <w:rsid w:val="00D914D9"/>
    <w:rsid w:val="00D94F0E"/>
    <w:rsid w:val="00DC0D34"/>
    <w:rsid w:val="00DD0A4E"/>
    <w:rsid w:val="00DD28F3"/>
    <w:rsid w:val="00DF122A"/>
    <w:rsid w:val="00DF7D7B"/>
    <w:rsid w:val="00E15363"/>
    <w:rsid w:val="00E24408"/>
    <w:rsid w:val="00E3512D"/>
    <w:rsid w:val="00E625D2"/>
    <w:rsid w:val="00E7481C"/>
    <w:rsid w:val="00E74956"/>
    <w:rsid w:val="00E75798"/>
    <w:rsid w:val="00E8170D"/>
    <w:rsid w:val="00E93084"/>
    <w:rsid w:val="00EA0EA8"/>
    <w:rsid w:val="00EA2788"/>
    <w:rsid w:val="00EA30AC"/>
    <w:rsid w:val="00EB2204"/>
    <w:rsid w:val="00EC4AD3"/>
    <w:rsid w:val="00ED4081"/>
    <w:rsid w:val="00F06DEE"/>
    <w:rsid w:val="00F53AEA"/>
    <w:rsid w:val="00F77B56"/>
    <w:rsid w:val="00FA4C27"/>
    <w:rsid w:val="00FB1763"/>
    <w:rsid w:val="00FB6363"/>
    <w:rsid w:val="00FD1374"/>
    <w:rsid w:val="0D9F44AC"/>
    <w:rsid w:val="6837688B"/>
    <w:rsid w:val="6CCA10AD"/>
    <w:rsid w:val="7BF7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kern w:val="2"/>
      <w:sz w:val="18"/>
      <w:szCs w:val="18"/>
    </w:rPr>
  </w:style>
  <w:style w:type="character" w:customStyle="1" w:styleId="10">
    <w:name w:val="纯文本 Char"/>
    <w:link w:val="2"/>
    <w:qFormat/>
    <w:uiPriority w:val="0"/>
    <w:rPr>
      <w:rFonts w:ascii="宋体" w:hAnsi="Courier New" w:cs="Courier New"/>
      <w:kern w:val="2"/>
      <w:sz w:val="21"/>
      <w:szCs w:val="21"/>
    </w:r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1633</Words>
  <Characters>1643</Characters>
  <Lines>12</Lines>
  <Paragraphs>3</Paragraphs>
  <TotalTime>103</TotalTime>
  <ScaleCrop>false</ScaleCrop>
  <LinksUpToDate>false</LinksUpToDate>
  <CharactersWithSpaces>1718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2023-09-14T06:36:00Z</dcterms:created>
  <dc:creator>zxl</dc:creator>
  <cp:lastModifiedBy>泡泡龙</cp:lastModifiedBy>
  <cp:lastPrinted>2025-07-30T04:59:00Z</cp:lastPrinted>
  <dcterms:modified xsi:type="dcterms:W3CDTF">2025-10-17T02:35:14Z</dcterms:modified>
  <dc:title>茅盾文学新人奖评奖章程</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FE282D407B5F47ACAABA4EF2C5EEB8CB_13</vt:lpwstr>
  </property>
  <property fmtid="{D5CDD505-2E9C-101B-9397-08002B2CF9AE}" pid="4" name="KSOTemplateDocerSaveRecord">
    <vt:lpwstr>eyJoZGlkIjoiMDBmY2I0MzhiNDgxZGQyNzQyMmE4OWNmNmY5YmY3NDIiLCJ1c2VySWQiOiIzMTIzODA3NDMifQ==</vt:lpwstr>
  </property>
</Properties>
</file>